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8A6" w:rsidRDefault="005D58A6" w:rsidP="005D58A6">
      <w:pPr>
        <w:jc w:val="left"/>
        <w:rPr>
          <w:rFonts w:ascii="仿宋" w:eastAsia="仿宋" w:hAnsi="仿宋"/>
          <w:sz w:val="28"/>
          <w:szCs w:val="28"/>
        </w:rPr>
      </w:pPr>
      <w:r>
        <w:rPr>
          <w:rFonts w:ascii="仿宋" w:eastAsia="仿宋" w:hAnsi="仿宋" w:hint="eastAsia"/>
          <w:sz w:val="28"/>
          <w:szCs w:val="28"/>
        </w:rPr>
        <w:t>附件1：</w:t>
      </w:r>
    </w:p>
    <w:p w:rsidR="005D58A6" w:rsidRDefault="005D58A6" w:rsidP="005D58A6">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山东成人教育协会</w:t>
      </w:r>
    </w:p>
    <w:p w:rsidR="005D58A6" w:rsidRDefault="005D58A6" w:rsidP="005D58A6">
      <w:pPr>
        <w:jc w:val="center"/>
        <w:rPr>
          <w:rFonts w:ascii="Times New Roman" w:hAnsi="Times New Roman" w:hint="eastAsia"/>
          <w:b/>
          <w:sz w:val="36"/>
          <w:szCs w:val="36"/>
        </w:rPr>
      </w:pPr>
      <w:r>
        <w:rPr>
          <w:rFonts w:ascii="方正小标宋简体" w:eastAsia="方正小标宋简体" w:hAnsi="方正小标宋简体" w:cs="方正小标宋简体" w:hint="eastAsia"/>
          <w:sz w:val="36"/>
          <w:szCs w:val="36"/>
        </w:rPr>
        <w:t>2025-2026年度研究课题指南</w:t>
      </w:r>
    </w:p>
    <w:p w:rsidR="005D58A6" w:rsidRDefault="005D58A6" w:rsidP="005D58A6">
      <w:pPr>
        <w:spacing w:line="460" w:lineRule="exact"/>
        <w:rPr>
          <w:rFonts w:ascii="仿宋" w:eastAsia="仿宋" w:hAnsi="仿宋" w:cs="仿宋"/>
          <w:sz w:val="30"/>
          <w:szCs w:val="30"/>
        </w:rPr>
      </w:pP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01.终身教育资历框架与学分银行制度研究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02.面向全民终身学习的学习型社会与学习型城市建设研究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03.职业教育、高等教育、继续教育协同创新发展研究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04.教育强国与教育强省理论与实践研究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05.新时代继续教育高质量发展研究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06.新时代开放教育高质量发展研究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07.开放教育服务区域建设的路径与成效研究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08.成人继续教育数字化转型研究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09.继续教育课程</w:t>
      </w:r>
      <w:proofErr w:type="gramStart"/>
      <w:r>
        <w:rPr>
          <w:rFonts w:ascii="仿宋" w:eastAsia="仿宋" w:hAnsi="仿宋" w:cs="仿宋" w:hint="eastAsia"/>
          <w:sz w:val="30"/>
          <w:szCs w:val="30"/>
        </w:rPr>
        <w:t>思政与思政</w:t>
      </w:r>
      <w:proofErr w:type="gramEnd"/>
      <w:r>
        <w:rPr>
          <w:rFonts w:ascii="仿宋" w:eastAsia="仿宋" w:hAnsi="仿宋" w:cs="仿宋" w:hint="eastAsia"/>
          <w:sz w:val="30"/>
          <w:szCs w:val="30"/>
        </w:rPr>
        <w:t>课程建设研究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10.继续教育师资队伍建设研究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11.继续教育高质量发展评价指标体系研究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12.体现继续教育特点的新形态教材建设研究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13.校外教学点的管理与评价研究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14.成人学生在线自主学习能力培养的教学实践研究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15.教育公平视域下特殊群体的教育与培训研究</w:t>
      </w:r>
    </w:p>
    <w:p w:rsidR="005D58A6" w:rsidRDefault="005D58A6" w:rsidP="005D58A6">
      <w:pPr>
        <w:spacing w:line="460" w:lineRule="exact"/>
        <w:rPr>
          <w:rFonts w:ascii="仿宋" w:eastAsia="仿宋" w:hAnsi="仿宋" w:cs="黑体" w:hint="eastAsia"/>
          <w:bCs/>
          <w:sz w:val="30"/>
          <w:szCs w:val="30"/>
        </w:rPr>
      </w:pP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16.高等继续教育职业技能培训创新发展路径研究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17.高等继续教育促进新型实用型、应用型人才培养机制研究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18.高等学历继续教育新专业、新课程建设研究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19.高等继续教育数字化资源共建共享机制研究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20.高校非学历继续教育产教融合协同育人实践研究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21.高校非学历教育治理的现状与发展研究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22.高校继续教育开展教师培训工作的实践研究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23.高校继续教育拓展中外合作办学项目的机制与实践研究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24.高校继续教育管办分离的体制机制研究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lastRenderedPageBreak/>
        <w:t>25.高校继续教育办学风险与防控策略研究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26.新时代自学考试制度的发展研究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27.高校实施自学考试助学服务的策略、机制与实践研究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28.自学考试专业建设和课程开发模式创新研究</w:t>
      </w:r>
    </w:p>
    <w:p w:rsidR="005D58A6" w:rsidRDefault="005D58A6" w:rsidP="005D58A6">
      <w:pPr>
        <w:overflowPunct w:val="0"/>
        <w:spacing w:line="560" w:lineRule="exact"/>
        <w:rPr>
          <w:rFonts w:ascii="仿宋" w:eastAsia="仿宋" w:hAnsi="仿宋" w:hint="eastAsia"/>
          <w:bCs/>
          <w:sz w:val="30"/>
          <w:szCs w:val="30"/>
        </w:rPr>
      </w:pP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29.新时代家庭教育与托幼服务发展研究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30.家庭学校社会协同育人视域下的成人继续教育研究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31.家庭教育在构建终身学习体系中的角色与功能深化研究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32.家庭教育与职业教育协同促进青少年职业素养培育研究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33.</w:t>
      </w:r>
      <w:proofErr w:type="gramStart"/>
      <w:r>
        <w:rPr>
          <w:rFonts w:ascii="仿宋" w:eastAsia="仿宋" w:hAnsi="仿宋" w:cs="仿宋" w:hint="eastAsia"/>
          <w:sz w:val="30"/>
          <w:szCs w:val="30"/>
        </w:rPr>
        <w:t>数智时代</w:t>
      </w:r>
      <w:proofErr w:type="gramEnd"/>
      <w:r>
        <w:rPr>
          <w:rFonts w:ascii="仿宋" w:eastAsia="仿宋" w:hAnsi="仿宋" w:cs="仿宋" w:hint="eastAsia"/>
          <w:sz w:val="30"/>
          <w:szCs w:val="30"/>
        </w:rPr>
        <w:t>家庭教育资源开发与共享机制研究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34.家庭教育助力乡村振兴人才培养的实践路径研究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35.亲子沟通模式对儿童语言与社交能力发展的影响研究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36.乡村振兴战略背景下农村幼儿园托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体系建设研究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37.“幼有所育”背景下幼儿园托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供给模式创新研究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38.幼儿园托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标准化建设研究-以山东省幼儿园为例</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39.幼儿园托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人员职业素养提升路径研究-基于山东省的调查分析</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40.儿童创造力培养的</w:t>
      </w:r>
      <w:proofErr w:type="gramStart"/>
      <w:r>
        <w:rPr>
          <w:rFonts w:ascii="仿宋" w:eastAsia="仿宋" w:hAnsi="仿宋" w:cs="仿宋" w:hint="eastAsia"/>
          <w:sz w:val="30"/>
          <w:szCs w:val="30"/>
        </w:rPr>
        <w:t>家校社协同</w:t>
      </w:r>
      <w:proofErr w:type="gramEnd"/>
      <w:r>
        <w:rPr>
          <w:rFonts w:ascii="仿宋" w:eastAsia="仿宋" w:hAnsi="仿宋" w:cs="仿宋" w:hint="eastAsia"/>
          <w:sz w:val="30"/>
          <w:szCs w:val="30"/>
        </w:rPr>
        <w:t>促进研究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41.家庭教育在儿童数字素养培育中的角色与实施路径研究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42.游戏活动对婴幼儿社会性发展的影响研究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43.幼儿园托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质量评价指标体系构建研究-以山东省幼儿园为例</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44.特殊儿童家庭教育支持体系的构建与实践研究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45.幼儿园托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对婴幼儿发展影响的追踪研究-以山东省幼儿园为例</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46.幼儿园托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对家庭养育支持作用研究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47.幼儿园托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财政投入保障机制研究-以山东省幼儿园为例</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48.幼儿园托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人才队伍建设研究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49.幼儿园托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信息化建设研究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lastRenderedPageBreak/>
        <w:t>50.幼儿园托</w:t>
      </w:r>
      <w:proofErr w:type="gramStart"/>
      <w:r>
        <w:rPr>
          <w:rFonts w:ascii="仿宋" w:eastAsia="仿宋" w:hAnsi="仿宋" w:cs="仿宋" w:hint="eastAsia"/>
          <w:sz w:val="30"/>
          <w:szCs w:val="30"/>
        </w:rPr>
        <w:t>育服务</w:t>
      </w:r>
      <w:proofErr w:type="gramEnd"/>
      <w:r>
        <w:rPr>
          <w:rFonts w:ascii="仿宋" w:eastAsia="仿宋" w:hAnsi="仿宋" w:cs="仿宋" w:hint="eastAsia"/>
          <w:sz w:val="30"/>
          <w:szCs w:val="30"/>
        </w:rPr>
        <w:t>社会支持体系构建研究-以山东省幼儿园为例</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51.幼儿园托班师资队伍建设的国际比较研究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52.幼儿园托班教师培训体系对教师教学效能感的影响与促进研究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53.基于儿童发展适宜性的幼儿园托班室内空间布局优化研究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54.基于儿童早期积极发展的幼儿园信息化教学资源的开发与应用效果研究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55.幼儿园托班教师职业压力与职业倦怠的成因及缓解策略研究</w:t>
      </w:r>
    </w:p>
    <w:p w:rsidR="005D58A6" w:rsidRDefault="005D58A6" w:rsidP="005D58A6">
      <w:pPr>
        <w:overflowPunct w:val="0"/>
        <w:spacing w:line="560" w:lineRule="exact"/>
        <w:rPr>
          <w:rFonts w:ascii="仿宋" w:eastAsia="仿宋" w:hAnsi="仿宋" w:cs="黑体" w:hint="eastAsia"/>
          <w:bCs/>
          <w:sz w:val="30"/>
          <w:szCs w:val="30"/>
        </w:rPr>
      </w:pPr>
    </w:p>
    <w:p w:rsidR="005D58A6" w:rsidRDefault="005D58A6" w:rsidP="005D58A6">
      <w:pPr>
        <w:overflowPunct w:val="0"/>
        <w:spacing w:line="560" w:lineRule="exact"/>
        <w:rPr>
          <w:rFonts w:ascii="仿宋" w:eastAsia="仿宋" w:hAnsi="仿宋" w:cs="黑体" w:hint="eastAsia"/>
          <w:bCs/>
          <w:sz w:val="30"/>
          <w:szCs w:val="30"/>
        </w:rPr>
      </w:pPr>
      <w:r>
        <w:rPr>
          <w:rFonts w:ascii="仿宋" w:eastAsia="仿宋" w:hAnsi="仿宋" w:cs="黑体" w:hint="eastAsia"/>
          <w:bCs/>
          <w:sz w:val="30"/>
          <w:szCs w:val="30"/>
        </w:rPr>
        <w:t>56.职业教育和成人教育服务乡村振兴研究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57.现代职业教育高质量发展研究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58.职业教育赋能新质生产力实践研究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59.职业院校产教融合校企合作实践研究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60.职业院校“双师型”教师队伍建设实践研究</w:t>
      </w:r>
    </w:p>
    <w:p w:rsidR="005D58A6" w:rsidRDefault="005D58A6" w:rsidP="005D58A6">
      <w:pPr>
        <w:spacing w:line="460" w:lineRule="exact"/>
        <w:rPr>
          <w:rFonts w:ascii="仿宋" w:eastAsia="仿宋" w:hAnsi="仿宋" w:cs="仿宋" w:hint="eastAsia"/>
          <w:color w:val="FF0000"/>
          <w:sz w:val="30"/>
          <w:szCs w:val="30"/>
        </w:rPr>
      </w:pP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61.新时代社区（老年）教育高质量发展研究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62.成人教育、老年教育学科建设研究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63.县域社区学习中心建设研究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64.社区教育品牌建设与运营机制研究</w:t>
      </w:r>
    </w:p>
    <w:p w:rsidR="005D58A6" w:rsidRDefault="005D58A6" w:rsidP="005D58A6">
      <w:pPr>
        <w:spacing w:line="460" w:lineRule="exact"/>
        <w:rPr>
          <w:rFonts w:ascii="仿宋" w:eastAsia="仿宋" w:hAnsi="仿宋" w:cs="仿宋" w:hint="eastAsia"/>
          <w:color w:val="FF0000"/>
          <w:sz w:val="30"/>
          <w:szCs w:val="30"/>
        </w:rPr>
      </w:pP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65.全民阅读资源的供需匹配研究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66.全民阅读公共服务体系构建路径研究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67.乡村地区公共阅读空间治理研究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68.全民阅读品牌建设实践研究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69.“一老一小”代际高质量阅读的理论构想与实践探索</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70.“全阅读”理念下亲子阅读理论建构与实践探索</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71.0-3岁婴幼儿图画书阅读指导研究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72.全民阅读背景下城乡阅读资源配置研究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lastRenderedPageBreak/>
        <w:t>73.全民阅读背景下弱势群体阅读权利保障研究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74.全民阅读权利保障的国际经验与本土化探索</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75.阅读推广人服务能力评价指标体系构建与优化路径研究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76.全民阅读素养的测评框架构建与支持路径研究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77.公共阅读空间质量评估与提升策略研究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78.中华优秀传统文化的阅读推广路径研究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79.全民阅读政策执行与制度保障研究</w:t>
      </w:r>
    </w:p>
    <w:p w:rsidR="005D58A6" w:rsidRDefault="005D58A6" w:rsidP="005D58A6">
      <w:pPr>
        <w:spacing w:line="460" w:lineRule="exact"/>
        <w:rPr>
          <w:rFonts w:ascii="仿宋" w:eastAsia="仿宋" w:hAnsi="仿宋" w:cs="仿宋" w:hint="eastAsia"/>
          <w:sz w:val="30"/>
          <w:szCs w:val="30"/>
        </w:rPr>
      </w:pPr>
      <w:r>
        <w:rPr>
          <w:rFonts w:ascii="仿宋" w:eastAsia="仿宋" w:hAnsi="仿宋" w:cs="仿宋" w:hint="eastAsia"/>
          <w:sz w:val="30"/>
          <w:szCs w:val="30"/>
        </w:rPr>
        <w:t>80.</w:t>
      </w:r>
      <w:proofErr w:type="gramStart"/>
      <w:r>
        <w:rPr>
          <w:rFonts w:ascii="仿宋" w:eastAsia="仿宋" w:hAnsi="仿宋" w:cs="仿宋" w:hint="eastAsia"/>
          <w:sz w:val="30"/>
          <w:szCs w:val="30"/>
        </w:rPr>
        <w:t>数智时代</w:t>
      </w:r>
      <w:bookmarkStart w:id="0" w:name="OLE_LINK1"/>
      <w:proofErr w:type="gramEnd"/>
      <w:r>
        <w:rPr>
          <w:rFonts w:ascii="仿宋" w:eastAsia="仿宋" w:hAnsi="仿宋" w:cs="仿宋" w:hint="eastAsia"/>
          <w:sz w:val="30"/>
          <w:szCs w:val="30"/>
        </w:rPr>
        <w:t>新媒介阅读</w:t>
      </w:r>
      <w:bookmarkEnd w:id="0"/>
      <w:r>
        <w:rPr>
          <w:rFonts w:ascii="仿宋" w:eastAsia="仿宋" w:hAnsi="仿宋" w:cs="仿宋" w:hint="eastAsia"/>
          <w:sz w:val="30"/>
          <w:szCs w:val="30"/>
        </w:rPr>
        <w:t>的风险识别与防范研究</w:t>
      </w:r>
    </w:p>
    <w:p w:rsidR="005D58A6" w:rsidRDefault="005D58A6" w:rsidP="005D58A6">
      <w:pPr>
        <w:spacing w:line="460" w:lineRule="exact"/>
        <w:rPr>
          <w:rFonts w:ascii="仿宋" w:eastAsia="仿宋" w:hAnsi="仿宋" w:cs="仿宋" w:hint="eastAsia"/>
          <w:color w:val="FF0000"/>
          <w:sz w:val="30"/>
          <w:szCs w:val="30"/>
        </w:rPr>
      </w:pPr>
    </w:p>
    <w:p w:rsidR="005D58A6" w:rsidRDefault="005D58A6" w:rsidP="005D58A6">
      <w:pPr>
        <w:spacing w:beforeLines="50" w:before="156"/>
        <w:rPr>
          <w:rFonts w:ascii="仿宋" w:eastAsia="仿宋" w:hAnsi="仿宋" w:cs="仿宋" w:hint="eastAsia"/>
          <w:b/>
          <w:sz w:val="30"/>
          <w:szCs w:val="30"/>
        </w:rPr>
      </w:pPr>
      <w:r>
        <w:rPr>
          <w:rFonts w:ascii="仿宋" w:eastAsia="仿宋" w:hAnsi="仿宋" w:cs="仿宋" w:hint="eastAsia"/>
          <w:b/>
          <w:sz w:val="30"/>
          <w:szCs w:val="30"/>
        </w:rPr>
        <w:t>其他说明</w:t>
      </w:r>
    </w:p>
    <w:p w:rsidR="005D58A6" w:rsidRDefault="005D58A6" w:rsidP="005D58A6">
      <w:pPr>
        <w:spacing w:line="460" w:lineRule="exact"/>
        <w:ind w:firstLineChars="200" w:firstLine="600"/>
        <w:rPr>
          <w:rFonts w:ascii="仿宋" w:eastAsia="仿宋" w:hAnsi="仿宋" w:cs="仿宋" w:hint="eastAsia"/>
          <w:sz w:val="30"/>
          <w:szCs w:val="30"/>
        </w:rPr>
      </w:pPr>
      <w:r>
        <w:rPr>
          <w:rFonts w:ascii="仿宋" w:eastAsia="仿宋" w:hAnsi="仿宋" w:cs="仿宋" w:hint="eastAsia"/>
          <w:sz w:val="30"/>
          <w:szCs w:val="30"/>
        </w:rPr>
        <w:t>课题申报者亦可参照课题指南扩展与细化研究内容，自行确定拟申报立项课题名称。</w:t>
      </w:r>
    </w:p>
    <w:p w:rsidR="005D58A6" w:rsidRDefault="005D58A6" w:rsidP="005D58A6">
      <w:pPr>
        <w:rPr>
          <w:rFonts w:hint="eastAsia"/>
        </w:rPr>
      </w:pPr>
    </w:p>
    <w:p w:rsidR="00986076" w:rsidRPr="005D58A6" w:rsidRDefault="00986076">
      <w:pPr>
        <w:rPr>
          <w:rFonts w:hint="eastAsia"/>
        </w:rPr>
      </w:pPr>
      <w:bookmarkStart w:id="1" w:name="_GoBack"/>
      <w:bookmarkEnd w:id="1"/>
    </w:p>
    <w:sectPr w:rsidR="00986076" w:rsidRPr="005D5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F4"/>
    <w:rsid w:val="005D58A6"/>
    <w:rsid w:val="007568F4"/>
    <w:rsid w:val="00986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8A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291</Words>
  <Characters>1661</Characters>
  <Application>Microsoft Office Word</Application>
  <DocSecurity>0</DocSecurity>
  <Lines>13</Lines>
  <Paragraphs>3</Paragraphs>
  <ScaleCrop>false</ScaleCrop>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jiangjing</dc:creator>
  <cp:keywords/>
  <dc:description/>
  <cp:lastModifiedBy>jiangjing</cp:lastModifiedBy>
  <cp:revision>2</cp:revision>
  <dcterms:created xsi:type="dcterms:W3CDTF">2025-02-17T00:41:00Z</dcterms:created>
  <dcterms:modified xsi:type="dcterms:W3CDTF">2025-02-17T00:41:00Z</dcterms:modified>
</cp:coreProperties>
</file>